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5265B" w14:textId="0A034B76" w:rsidR="00003208" w:rsidRDefault="00003208" w:rsidP="00003208">
      <w:pPr>
        <w:rPr>
          <w:b/>
          <w:bCs/>
        </w:rPr>
      </w:pPr>
      <w:r>
        <w:rPr>
          <w:b/>
          <w:bCs/>
        </w:rPr>
        <w:t>P</w:t>
      </w:r>
      <w:r w:rsidR="004F4CCA">
        <w:rPr>
          <w:b/>
          <w:bCs/>
        </w:rPr>
        <w:t>f</w:t>
      </w:r>
      <w:r>
        <w:rPr>
          <w:b/>
          <w:bCs/>
        </w:rPr>
        <w:t>izer-</w:t>
      </w:r>
      <w:proofErr w:type="spellStart"/>
      <w:r>
        <w:rPr>
          <w:b/>
          <w:bCs/>
        </w:rPr>
        <w:t>BioNTech</w:t>
      </w:r>
      <w:proofErr w:type="spellEnd"/>
      <w:r>
        <w:rPr>
          <w:b/>
          <w:bCs/>
        </w:rPr>
        <w:t xml:space="preserve"> COVID-19 vaccine authorised by UK Government</w:t>
      </w:r>
    </w:p>
    <w:p w14:paraId="0595C161" w14:textId="3DCF7C70" w:rsidR="00003208" w:rsidRDefault="00003208" w:rsidP="00003208">
      <w:pPr>
        <w:rPr>
          <w:i/>
          <w:iCs/>
        </w:rPr>
      </w:pPr>
      <w:r w:rsidRPr="009D2000">
        <w:rPr>
          <w:i/>
          <w:iCs/>
        </w:rPr>
        <w:t xml:space="preserve">The UK Government has now authorised the </w:t>
      </w:r>
      <w:r w:rsidR="009D2000">
        <w:t>Pfizer-</w:t>
      </w:r>
      <w:proofErr w:type="spellStart"/>
      <w:r w:rsidR="009D2000">
        <w:t>BioNTech</w:t>
      </w:r>
      <w:proofErr w:type="spellEnd"/>
      <w:r w:rsidR="009D2000" w:rsidRPr="009D2000">
        <w:rPr>
          <w:i/>
          <w:iCs/>
        </w:rPr>
        <w:t xml:space="preserve"> </w:t>
      </w:r>
      <w:r w:rsidRPr="009D2000">
        <w:rPr>
          <w:i/>
          <w:iCs/>
        </w:rPr>
        <w:t xml:space="preserve">COVID-19 vaccine based on the independent advice of the medicines regulator. </w:t>
      </w:r>
    </w:p>
    <w:p w14:paraId="029F3E2B" w14:textId="4C39E500" w:rsidR="004F4CCA" w:rsidRDefault="004F4CCA" w:rsidP="00003208">
      <w:r>
        <w:t xml:space="preserve">The UK Government has </w:t>
      </w:r>
      <w:r w:rsidRPr="004F4CCA">
        <w:t>granted a temporary authori</w:t>
      </w:r>
      <w:r>
        <w:t>s</w:t>
      </w:r>
      <w:r w:rsidRPr="004F4CCA">
        <w:t xml:space="preserve">ation for emergency use </w:t>
      </w:r>
      <w:r>
        <w:t>of the Pfizer-</w:t>
      </w:r>
      <w:proofErr w:type="spellStart"/>
      <w:r>
        <w:t>BioNTech</w:t>
      </w:r>
      <w:proofErr w:type="spellEnd"/>
      <w:r>
        <w:t xml:space="preserve"> </w:t>
      </w:r>
      <w:r w:rsidRPr="004F4CCA">
        <w:t>COVID-19 mRNA vaccine (BNT162b2), against COVID-19</w:t>
      </w:r>
      <w:r>
        <w:t>, based on the recommendation of the independent Medicines and Healthcare products Regulatory Agency</w:t>
      </w:r>
      <w:r w:rsidR="009D2000">
        <w:t xml:space="preserve"> (MHRA)</w:t>
      </w:r>
      <w:r>
        <w:t>.</w:t>
      </w:r>
    </w:p>
    <w:p w14:paraId="511A2996" w14:textId="09268700" w:rsidR="004F4CCA" w:rsidRDefault="009D2000" w:rsidP="00003208">
      <w:r>
        <w:t>The</w:t>
      </w:r>
      <w:r w:rsidR="004F4CCA">
        <w:t xml:space="preserve"> authorisation is </w:t>
      </w:r>
      <w:r w:rsidR="004F4CCA" w:rsidRPr="004F4CCA">
        <w:t xml:space="preserve">the first Emergency Use Authorization following a worldwide Phase </w:t>
      </w:r>
      <w:r w:rsidR="004F4CCA">
        <w:t>III</w:t>
      </w:r>
      <w:r w:rsidR="004F4CCA" w:rsidRPr="004F4CCA">
        <w:t xml:space="preserve"> trial</w:t>
      </w:r>
      <w:r w:rsidR="00DA3D4B">
        <w:t xml:space="preserve">. </w:t>
      </w:r>
      <w:r w:rsidR="004F4CCA" w:rsidRPr="004F4CCA">
        <w:t>The</w:t>
      </w:r>
      <w:r w:rsidR="00DA3D4B">
        <w:t xml:space="preserve"> vaccine will be made available from next week, and</w:t>
      </w:r>
      <w:r w:rsidR="004F4CCA" w:rsidRPr="004F4CCA">
        <w:t xml:space="preserve"> distribution of the vaccine in will be prioriti</w:t>
      </w:r>
      <w:r w:rsidR="00DA3D4B">
        <w:t>s</w:t>
      </w:r>
      <w:r w:rsidR="004F4CCA" w:rsidRPr="004F4CCA">
        <w:t>ed according to the populations identified in guidance from the Joint Committee on Vaccination and Immunisation (JCVI).</w:t>
      </w:r>
    </w:p>
    <w:p w14:paraId="3288936E" w14:textId="7B3FE144" w:rsidR="004F4CCA" w:rsidRPr="009D2000" w:rsidRDefault="009D2000" w:rsidP="00003208">
      <w:pPr>
        <w:rPr>
          <w:b/>
          <w:bCs/>
        </w:rPr>
      </w:pPr>
      <w:r w:rsidRPr="009D2000">
        <w:rPr>
          <w:b/>
          <w:bCs/>
        </w:rPr>
        <w:t>World first approval for a vaccine</w:t>
      </w:r>
    </w:p>
    <w:p w14:paraId="58CC748B" w14:textId="1BDCDD7C" w:rsidR="004F4CCA" w:rsidRPr="009D2000" w:rsidRDefault="004F4CCA" w:rsidP="00003208">
      <w:r>
        <w:t xml:space="preserve">The authorisation opens the door to mass vaccination of UK citizens, and the vaccine is one of two that the Government has signed a procurement contract for. The second vaccine the Government has purchased </w:t>
      </w:r>
      <w:r w:rsidRPr="004F4CCA">
        <w:rPr>
          <w:rFonts w:cstheme="minorHAnsi"/>
        </w:rPr>
        <w:t>is the C</w:t>
      </w:r>
      <w:r w:rsidRPr="009D2000">
        <w:rPr>
          <w:rFonts w:cstheme="minorHAnsi"/>
          <w:color w:val="222222"/>
          <w:shd w:val="clear" w:color="auto" w:fill="FFFFFF"/>
        </w:rPr>
        <w:t>hAdOx1 nCoV-19 vaccine</w:t>
      </w:r>
      <w:r w:rsidR="009D2000">
        <w:rPr>
          <w:rFonts w:cstheme="minorHAnsi"/>
          <w:color w:val="222222"/>
          <w:shd w:val="clear" w:color="auto" w:fill="FFFFFF"/>
        </w:rPr>
        <w:t>,</w:t>
      </w:r>
      <w:r w:rsidRPr="009D2000">
        <w:rPr>
          <w:rFonts w:cstheme="minorHAnsi"/>
          <w:color w:val="222222"/>
          <w:shd w:val="clear" w:color="auto" w:fill="FFFFFF"/>
        </w:rPr>
        <w:t xml:space="preserve"> which is currently in Phase III trials to confirm the results and how effective the vaccine is in protecting against </w:t>
      </w:r>
      <w:r w:rsidRPr="009D2000">
        <w:rPr>
          <w:rFonts w:cstheme="minorHAnsi"/>
          <w:shd w:val="clear" w:color="auto" w:fill="FFFFFF"/>
        </w:rPr>
        <w:t>COVID-19 infections</w:t>
      </w:r>
      <w:r>
        <w:rPr>
          <w:rFonts w:ascii="Open Sans" w:hAnsi="Open Sans"/>
          <w:color w:val="222222"/>
          <w:shd w:val="clear" w:color="auto" w:fill="FFFFFF"/>
        </w:rPr>
        <w:t> </w:t>
      </w:r>
      <w:r>
        <w:t xml:space="preserve"> </w:t>
      </w:r>
    </w:p>
    <w:p w14:paraId="75D70973" w14:textId="79522957" w:rsidR="00003208" w:rsidRPr="00003208" w:rsidRDefault="00003208" w:rsidP="00003208">
      <w:r w:rsidRPr="00003208">
        <w:t>A Department of Health and Social Care spokesperson said:</w:t>
      </w:r>
      <w:r w:rsidR="00DA3D4B">
        <w:t xml:space="preserve"> </w:t>
      </w:r>
      <w:r w:rsidRPr="00003208">
        <w:t>“The Government has today accepted the recommendation from the independent </w:t>
      </w:r>
      <w:hyperlink r:id="rId4" w:history="1">
        <w:r w:rsidRPr="00003208">
          <w:rPr>
            <w:rStyle w:val="Hyperlink"/>
          </w:rPr>
          <w:t>Medicines and Healthcare products Regulatory Agency (MHRA)</w:t>
        </w:r>
      </w:hyperlink>
      <w:r w:rsidRPr="00003208">
        <w:t> to approve Pfizer-</w:t>
      </w:r>
      <w:proofErr w:type="spellStart"/>
      <w:r w:rsidRPr="00003208">
        <w:t>BioNTech’s</w:t>
      </w:r>
      <w:proofErr w:type="spellEnd"/>
      <w:r w:rsidRPr="00003208">
        <w:t xml:space="preserve"> COVID-19 vaccine for use. This follows months of rigorous clinical trials and a thorough analysis of the data by experts at the MHRA who have concluded that the vaccine has met its strict standards of safety, quality</w:t>
      </w:r>
      <w:r w:rsidR="00DA3D4B">
        <w:t>,</w:t>
      </w:r>
      <w:r w:rsidRPr="00003208">
        <w:t xml:space="preserve"> and effectiveness.</w:t>
      </w:r>
    </w:p>
    <w:p w14:paraId="7E8DE2CC" w14:textId="1755A450" w:rsidR="00003208" w:rsidRPr="00003208" w:rsidRDefault="00003208" w:rsidP="00DA3D4B">
      <w:r w:rsidRPr="00003208">
        <w:t>“The </w:t>
      </w:r>
      <w:hyperlink r:id="rId5" w:history="1">
        <w:r w:rsidRPr="00003208">
          <w:rPr>
            <w:rStyle w:val="Hyperlink"/>
          </w:rPr>
          <w:t>Joint Committee on Vaccinations and Immunisations (JCVI)</w:t>
        </w:r>
      </w:hyperlink>
      <w:r w:rsidRPr="00003208">
        <w:t> will shortly publish its final advice for the priority groups to receive the vaccine, including care home residents, health and care staff, the elderly and the clinically extremely vulnerable.</w:t>
      </w:r>
      <w:r w:rsidR="00DA3D4B">
        <w:t>”</w:t>
      </w:r>
    </w:p>
    <w:p w14:paraId="00000503" w14:textId="678543B2" w:rsidR="00DA3D4B" w:rsidRDefault="00DA3D4B" w:rsidP="00DA3D4B">
      <w:r w:rsidRPr="00DA3D4B">
        <w:t xml:space="preserve">Albert </w:t>
      </w:r>
      <w:proofErr w:type="spellStart"/>
      <w:r w:rsidRPr="00DA3D4B">
        <w:t>Bourla</w:t>
      </w:r>
      <w:proofErr w:type="spellEnd"/>
      <w:r w:rsidRPr="00DA3D4B">
        <w:t>, Chairman and Chief Executive Officer, Pfizer</w:t>
      </w:r>
      <w:r>
        <w:t>, said:</w:t>
      </w:r>
      <w:r w:rsidR="009D2000">
        <w:t xml:space="preserve"> </w:t>
      </w:r>
      <w:r w:rsidRPr="00DA3D4B">
        <w:t>“Today’s Emergency Use Authorization in the U.K. marks a historic moment in the fight against COVID-19. This authorization is a goal we have been working toward since we first declared that science will win, and we applaud the MHRA for their ability to conduct a careful assessment and take timely action to help protect the people of the UK</w:t>
      </w:r>
      <w:r>
        <w:t>.</w:t>
      </w:r>
    </w:p>
    <w:p w14:paraId="2C96B90A" w14:textId="5588E683" w:rsidR="00DA3D4B" w:rsidRPr="00DA3D4B" w:rsidRDefault="00DA3D4B" w:rsidP="00DA3D4B">
      <w:r w:rsidRPr="00DA3D4B">
        <w:t>“As we anticipate further authorizations and approvals, we are focused on moving with the same level of urgency to safely supply a high-quality vaccine around the world. With thousands of people becoming infected, every day matters in the collective race to end this devastating pandemic.”</w:t>
      </w:r>
    </w:p>
    <w:p w14:paraId="2D457526" w14:textId="503ACB2D" w:rsidR="00DA3D4B" w:rsidRDefault="00DA3D4B" w:rsidP="00DA3D4B">
      <w:r w:rsidRPr="00DA3D4B">
        <w:t xml:space="preserve">“The Emergency Use Authorization in the UK will mark the first-time citizens outside of the trials will have the opportunity to be immunized against COVID-19,” said </w:t>
      </w:r>
      <w:proofErr w:type="spellStart"/>
      <w:r w:rsidRPr="00DA3D4B">
        <w:t>Ugur</w:t>
      </w:r>
      <w:proofErr w:type="spellEnd"/>
      <w:r w:rsidRPr="00DA3D4B">
        <w:t xml:space="preserve"> </w:t>
      </w:r>
      <w:proofErr w:type="spellStart"/>
      <w:r w:rsidRPr="00DA3D4B">
        <w:t>Sahin</w:t>
      </w:r>
      <w:proofErr w:type="spellEnd"/>
      <w:r w:rsidRPr="00DA3D4B">
        <w:t xml:space="preserve">, M.D., CEO and Co-founder of </w:t>
      </w:r>
      <w:proofErr w:type="spellStart"/>
      <w:r w:rsidRPr="00DA3D4B">
        <w:t>BioNTech</w:t>
      </w:r>
      <w:proofErr w:type="spellEnd"/>
      <w:r w:rsidRPr="00DA3D4B">
        <w:t>. “We believe that the roll-out of the vaccination program in the UK will reduce the number of people in the high-risk population being hospitalized. Our aim is to bring a safe and effective vaccine upon approval to the people who need it. The data submitted to regulatory agencies around the world are the result of a scientifically rigorous and highly ethical research and development program.”</w:t>
      </w:r>
    </w:p>
    <w:p w14:paraId="7A914E31" w14:textId="1281127D" w:rsidR="00DA3D4B" w:rsidRDefault="00DA3D4B" w:rsidP="00DA3D4B">
      <w:r>
        <w:t>The UK Government has bought 40m doses of the vaccine and distribution</w:t>
      </w:r>
      <w:r w:rsidRPr="00DA3D4B">
        <w:t xml:space="preserve"> will </w:t>
      </w:r>
      <w:r>
        <w:t>take place throughout</w:t>
      </w:r>
      <w:r w:rsidRPr="00DA3D4B">
        <w:t xml:space="preserve"> </w:t>
      </w:r>
      <w:r>
        <w:t xml:space="preserve">the remainder of </w:t>
      </w:r>
      <w:r w:rsidRPr="00DA3D4B">
        <w:t xml:space="preserve">2020 </w:t>
      </w:r>
      <w:r>
        <w:t xml:space="preserve">and through </w:t>
      </w:r>
      <w:r w:rsidRPr="00DA3D4B">
        <w:t xml:space="preserve">2021, </w:t>
      </w:r>
      <w:r>
        <w:t>with the</w:t>
      </w:r>
      <w:r w:rsidRPr="00DA3D4B">
        <w:t xml:space="preserve"> first doses expected to arrive in </w:t>
      </w:r>
      <w:r>
        <w:t xml:space="preserve">the next few days. </w:t>
      </w:r>
    </w:p>
    <w:p w14:paraId="7CAF035F" w14:textId="61215C08" w:rsidR="004622F0" w:rsidRDefault="004622F0" w:rsidP="00DA3D4B"/>
    <w:p w14:paraId="57D476F2" w14:textId="0DA5C306" w:rsidR="004622F0" w:rsidRDefault="004622F0" w:rsidP="00DA3D4B">
      <w:hyperlink r:id="rId6" w:history="1">
        <w:r w:rsidRPr="009D4B8A">
          <w:rPr>
            <w:rStyle w:val="Hyperlink"/>
          </w:rPr>
          <w:t>https://www.pfizer.com/news/press-release/press-release-detail/pfizer-and-biontech-achieve-first-authorization-world</w:t>
        </w:r>
      </w:hyperlink>
      <w:r>
        <w:t xml:space="preserve"> </w:t>
      </w:r>
    </w:p>
    <w:p w14:paraId="2B377381" w14:textId="43EE70DA" w:rsidR="004622F0" w:rsidRPr="00DA3D4B" w:rsidRDefault="004622F0" w:rsidP="00DA3D4B">
      <w:hyperlink r:id="rId7" w:history="1">
        <w:r w:rsidRPr="009D4B8A">
          <w:rPr>
            <w:rStyle w:val="Hyperlink"/>
          </w:rPr>
          <w:t>https://www.gov.uk/government/news/uk-authorises-pfizer-biontech-covid-19-vaccine</w:t>
        </w:r>
      </w:hyperlink>
      <w:r>
        <w:t xml:space="preserve"> </w:t>
      </w:r>
    </w:p>
    <w:p w14:paraId="608F7588" w14:textId="77777777" w:rsidR="00CB5975" w:rsidRDefault="00CB5975"/>
    <w:sectPr w:rsidR="00CB5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08"/>
    <w:rsid w:val="00003208"/>
    <w:rsid w:val="004622F0"/>
    <w:rsid w:val="004F4CCA"/>
    <w:rsid w:val="009D2000"/>
    <w:rsid w:val="00CB5975"/>
    <w:rsid w:val="00DA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E8BA"/>
  <w15:chartTrackingRefBased/>
  <w15:docId w15:val="{86606D39-6DE0-4A5B-8282-FBFF851F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20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0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7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5579">
              <w:marLeft w:val="225"/>
              <w:marRight w:val="225"/>
              <w:marTop w:val="0"/>
              <w:marBottom w:val="0"/>
              <w:divBdr>
                <w:top w:val="single" w:sz="6" w:space="0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8434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304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851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957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4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4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7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1188">
              <w:marLeft w:val="225"/>
              <w:marRight w:val="225"/>
              <w:marTop w:val="0"/>
              <w:marBottom w:val="0"/>
              <w:divBdr>
                <w:top w:val="single" w:sz="6" w:space="0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963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5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15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68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4006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6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uk/government/news/uk-authorises-pfizer-biontech-covid-19-vacc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fizer.com/news/press-release/press-release-detail/pfizer-and-biontech-achieve-first-authorization-world" TargetMode="External"/><Relationship Id="rId5" Type="http://schemas.openxmlformats.org/officeDocument/2006/relationships/hyperlink" Target="https://www.gov.uk/government/groups/joint-committee-on-vaccination-and-immunisation" TargetMode="External"/><Relationship Id="rId4" Type="http://schemas.openxmlformats.org/officeDocument/2006/relationships/hyperlink" Target="https://www.gov.uk/government/organisations/medicines-and-healthcare-products-regulatory-agenc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Price</dc:creator>
  <cp:keywords/>
  <dc:description/>
  <cp:lastModifiedBy>Stephanie Price</cp:lastModifiedBy>
  <cp:revision>3</cp:revision>
  <dcterms:created xsi:type="dcterms:W3CDTF">2020-12-02T09:50:00Z</dcterms:created>
  <dcterms:modified xsi:type="dcterms:W3CDTF">2020-12-02T09:54:00Z</dcterms:modified>
</cp:coreProperties>
</file>